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Wymagania edukacyjne niezbędne do uzyskania</w:t>
      </w: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poszczególnych śródrocznych i rocznych ocen klasyfikacyjnych z przedmiotu</w:t>
      </w: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Użytkowanie urządzeń i systemów agrotronicznych w rolnictwie</w:t>
      </w: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Technik mechanizacji rolnictwa i agrotroniki</w:t>
      </w: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kl. III TMRiA</w:t>
      </w:r>
    </w:p>
    <w:p w:rsidR="00EF4296" w:rsidRDefault="00EF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Ocenę </w:t>
      </w:r>
      <w:r>
        <w:rPr>
          <w:rFonts w:ascii="Times New Roman" w:hAnsi="Times New Roman" w:cs="Times New Roman"/>
          <w:b/>
          <w:sz w:val="24"/>
          <w:szCs w:val="24"/>
        </w:rPr>
        <w:t>dopuszczającą otrzymuje uczeń, który:</w:t>
      </w:r>
    </w:p>
    <w:p w:rsidR="00EF4296" w:rsidRDefault="00DE62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podstawowe pojęcia związane z mechatroniką.</w:t>
      </w:r>
    </w:p>
    <w:p w:rsidR="00EF4296" w:rsidRDefault="00DE62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zasady przesyłania sygnałów</w:t>
      </w:r>
    </w:p>
    <w:p w:rsidR="00EF4296" w:rsidRDefault="00DE62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zasadę pracy szyny CANBUS </w:t>
      </w:r>
    </w:p>
    <w:p w:rsidR="00EF4296" w:rsidRDefault="00DE62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zasadę pracy szyny ISOBUS</w:t>
      </w:r>
    </w:p>
    <w:p w:rsidR="00EF4296" w:rsidRDefault="00DE62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przyłącza stosowane w systemach ISOBUS</w:t>
      </w:r>
    </w:p>
    <w:p w:rsidR="00EF4296" w:rsidRDefault="00EF4296">
      <w:pPr>
        <w:pStyle w:val="Akapitzlist"/>
        <w:rPr>
          <w:rFonts w:ascii="Times New Roman" w:hAnsi="Times New Roman" w:cs="Times New Roman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Ocenę dostateczną otrzymuje </w:t>
      </w:r>
      <w:r>
        <w:rPr>
          <w:rFonts w:ascii="Times New Roman" w:hAnsi="Times New Roman" w:cs="Times New Roman"/>
          <w:b/>
          <w:sz w:val="24"/>
          <w:szCs w:val="24"/>
        </w:rPr>
        <w:t>uczeń, który:</w:t>
      </w:r>
    </w:p>
    <w:p w:rsidR="00EF4296" w:rsidRDefault="00DE62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podstawowe informacje o układach napędowych</w:t>
      </w:r>
    </w:p>
    <w:p w:rsidR="00EF4296" w:rsidRDefault="00DE62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zasadę działania skrzyni bezstopniowych</w:t>
      </w:r>
    </w:p>
    <w:p w:rsidR="00EF4296" w:rsidRDefault="00DE62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zasadę działania dwusprzęgłowych skrzyń CVT</w:t>
      </w:r>
    </w:p>
    <w:p w:rsidR="00EF4296" w:rsidRDefault="00DE62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zasadę działania systemu sterowania cylindrami dwustronnego działania</w:t>
      </w:r>
    </w:p>
    <w:p w:rsidR="00EF4296" w:rsidRDefault="00DE62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hydrauliczne u</w:t>
      </w:r>
      <w:r>
        <w:rPr>
          <w:rFonts w:ascii="Times New Roman" w:hAnsi="Times New Roman" w:cs="Times New Roman"/>
          <w:sz w:val="24"/>
          <w:szCs w:val="24"/>
        </w:rPr>
        <w:t xml:space="preserve">kłady napędowe stosowane w kombajnach </w:t>
      </w:r>
    </w:p>
    <w:p w:rsidR="00EF4296" w:rsidRDefault="00EF4296">
      <w:pPr>
        <w:rPr>
          <w:rFonts w:ascii="Times New Roman" w:hAnsi="Times New Roman" w:cs="Times New Roman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EF4296" w:rsidRDefault="00DE621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zasadę działania systemu hydrauliki wewnętrznej</w:t>
      </w:r>
    </w:p>
    <w:p w:rsidR="00EF4296" w:rsidRDefault="00DE621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zasadę działania systemu hydrauliki zewnętrznej</w:t>
      </w:r>
    </w:p>
    <w:p w:rsidR="00EF4296" w:rsidRDefault="00DE621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zasadę działania systemu EHR</w:t>
      </w:r>
    </w:p>
    <w:p w:rsidR="00EF4296" w:rsidRDefault="00DE621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tryby pracy systemu EHR</w:t>
      </w:r>
    </w:p>
    <w:p w:rsidR="00EF4296" w:rsidRDefault="00DE621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elementy składowe systemu EHR</w:t>
      </w: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EF4296" w:rsidRDefault="00DE621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czujniki wykorzystywane w systemach mechatronicznych</w:t>
      </w:r>
    </w:p>
    <w:p w:rsidR="00EF4296" w:rsidRDefault="00DE621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przetworniki wykorzystywane w systemach mechatronicznych</w:t>
      </w:r>
    </w:p>
    <w:p w:rsidR="00EF4296" w:rsidRDefault="00DE621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podstawowe pojęcia związane z układami hydraulicznymi</w:t>
      </w:r>
    </w:p>
    <w:p w:rsidR="00EF4296" w:rsidRDefault="00DE621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</w:t>
      </w:r>
      <w:r>
        <w:rPr>
          <w:rFonts w:ascii="Times New Roman" w:hAnsi="Times New Roman" w:cs="Times New Roman"/>
          <w:sz w:val="24"/>
          <w:szCs w:val="24"/>
        </w:rPr>
        <w:t xml:space="preserve"> podstawowe pojęcia związane z napędami hydraulicznymi</w:t>
      </w:r>
    </w:p>
    <w:p w:rsidR="00EF4296" w:rsidRDefault="00DE621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hydrauliczne elementy wykonawcze</w:t>
      </w:r>
    </w:p>
    <w:p w:rsidR="00EF4296" w:rsidRDefault="00DE621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zasadę działania systemów pneumatycznych</w:t>
      </w:r>
    </w:p>
    <w:p w:rsidR="00EF4296" w:rsidRDefault="00DE621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zasadę działania napędów elektrycznych</w:t>
      </w:r>
    </w:p>
    <w:p w:rsidR="00EF4296" w:rsidRDefault="00EF4296">
      <w:pPr>
        <w:rPr>
          <w:rFonts w:ascii="Times New Roman" w:hAnsi="Times New Roman" w:cs="Times New Roman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EF4296" w:rsidRDefault="00DE621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biegle posługuje się zdobytymi wiado</w:t>
      </w:r>
      <w:r>
        <w:rPr>
          <w:rFonts w:ascii="Times New Roman" w:hAnsi="Times New Roman" w:cs="Times New Roman"/>
          <w:sz w:val="24"/>
          <w:szCs w:val="24"/>
        </w:rPr>
        <w:t>mościami w rozwiązywaniu problemów</w:t>
      </w:r>
    </w:p>
    <w:p w:rsidR="00EF4296" w:rsidRDefault="00DE6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teoretycznych i praktycznych związanych z urządzeniami i systemami agrotronicznymi, proponuje rozwiązania nietypowe </w:t>
      </w:r>
    </w:p>
    <w:p w:rsidR="00EF4296" w:rsidRDefault="00DE621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osiąga sukcesy w konkursach i olimpiadach tematycznych</w:t>
      </w:r>
    </w:p>
    <w:p w:rsidR="00EF4296" w:rsidRDefault="00EF429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Wymagania edukacyjne niezbędne do uzyskania</w:t>
      </w: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posz</w:t>
      </w:r>
      <w:r>
        <w:rPr>
          <w:rFonts w:ascii="Times New Roman" w:hAnsi="Times New Roman" w:cs="Times New Roman"/>
          <w:b/>
          <w:bCs/>
          <w:sz w:val="36"/>
          <w:szCs w:val="36"/>
        </w:rPr>
        <w:t>czególnych śródrocznych i rocznych ocen klasyfikacyjnych z przedmiotu</w:t>
      </w: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Użytkowanie urządzeń i systemów agrotronicznych w rolnictwie</w:t>
      </w: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Technik mechanizacji rolnictwa i agrotroniki</w:t>
      </w: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kl. IV TMRiA</w:t>
      </w:r>
    </w:p>
    <w:p w:rsidR="00EF4296" w:rsidRDefault="00EF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_kopia_1"/>
      <w:bookmarkEnd w:id="1"/>
      <w:r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EF4296" w:rsidRDefault="00DE621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zestawia podstawowy </w:t>
      </w:r>
      <w:r>
        <w:rPr>
          <w:color w:val="000000"/>
          <w:sz w:val="24"/>
          <w:szCs w:val="24"/>
        </w:rPr>
        <w:t>system nawigacji satelitarnej do uniwersalnego zastosowania w wielu maszynach</w:t>
      </w:r>
    </w:p>
    <w:p w:rsidR="00EF4296" w:rsidRDefault="00DE621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wyjaśnia zasady pracy systemu pozwalającego na automatyczną współpracę wielu maszyn pracujących na tym samym polu (automatyczna współpraca pojazdu odbierającego zboże z </w:t>
      </w:r>
      <w:r>
        <w:rPr>
          <w:rFonts w:ascii="Times New Roman" w:hAnsi="Times New Roman" w:cs="Times New Roman"/>
          <w:color w:val="000000"/>
          <w:sz w:val="24"/>
          <w:szCs w:val="24"/>
        </w:rPr>
        <w:t>kombajnem, sieczkarni samojezdnej z pojazdem)</w:t>
      </w:r>
    </w:p>
    <w:p w:rsidR="00EF4296" w:rsidRDefault="00DE621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wyjaśnia możliwości wykorzystania systemów wysiewu zmiennej dawki nawozów</w:t>
      </w:r>
    </w:p>
    <w:p w:rsidR="00EF4296" w:rsidRDefault="00EF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EF4296" w:rsidRDefault="00DE6211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wyjaśnia możliwości wykorzystania systemów stosowania zmiennej dawki pestycydów</w:t>
      </w:r>
    </w:p>
    <w:p w:rsidR="00EF4296" w:rsidRDefault="00DE6211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wyjaśnia możl</w:t>
      </w:r>
      <w:r>
        <w:rPr>
          <w:rFonts w:ascii="Times New Roman" w:hAnsi="Times New Roman" w:cs="Times New Roman"/>
          <w:color w:val="000000"/>
          <w:sz w:val="24"/>
          <w:szCs w:val="24"/>
        </w:rPr>
        <w:t>iwości mapowania plonu tworzonego podczas pracy kombajnu</w:t>
      </w:r>
    </w:p>
    <w:p w:rsidR="00EF4296" w:rsidRDefault="00DE6211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wyszukuje informacje upowszechniające innowacyjne rozwiązania agrotechniczne na rynku polskim i europejskim</w:t>
      </w:r>
    </w:p>
    <w:p w:rsidR="00EF4296" w:rsidRDefault="00DE6211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identyfikuje instytucje, organizacje i przedsiębiorstwa zajmujące się wdrażaniem systemów n</w:t>
      </w:r>
      <w:r>
        <w:rPr>
          <w:rFonts w:ascii="Times New Roman" w:hAnsi="Times New Roman" w:cs="Times New Roman"/>
          <w:color w:val="000000"/>
          <w:sz w:val="24"/>
          <w:szCs w:val="24"/>
        </w:rPr>
        <w:t>awigacji satelitarnej dla rolnictwa</w:t>
      </w:r>
    </w:p>
    <w:p w:rsidR="00EF4296" w:rsidRDefault="00DE6211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identyfikuje instytucje, organizacje i przedsiębiorstwa zajmujące się przetwarzaniem danych agrotechnicznych wykorzystywanych w gospodarstwie rolnym</w:t>
      </w:r>
    </w:p>
    <w:p w:rsidR="00EF4296" w:rsidRDefault="00EF4296">
      <w:pPr>
        <w:rPr>
          <w:rFonts w:ascii="Times New Roman" w:hAnsi="Times New Roman" w:cs="Times New Roman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EF4296" w:rsidRDefault="00DE6211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znajduje informacje o podzespołach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pojazdu w publikacjach technicznych</w:t>
      </w:r>
    </w:p>
    <w:p w:rsidR="00EF4296" w:rsidRDefault="00DE6211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interpretuje dokumentację techniczną maszyn i urządzeń rolniczych wyposażonych w układy elektryczne i elektroniczne</w:t>
      </w:r>
    </w:p>
    <w:p w:rsidR="00EF4296" w:rsidRDefault="00DE6211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interpretuje dokumentację techniczną maszyn i urządzeń rolniczych wyposażonych w układy hydrauliczne</w:t>
      </w:r>
    </w:p>
    <w:p w:rsidR="00EF4296" w:rsidRDefault="00DE6211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</w:rPr>
        <w:t>terpretuje dokumentację techniczną maszyn i urządzeń rolniczych wyposażonych w układy pneumatyczne</w:t>
      </w: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EF4296" w:rsidRDefault="00DE6211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uruchamia urządzenia systemów elektronicznych wspomagających automatyzację prac w produkcji roślinnej</w:t>
      </w:r>
    </w:p>
    <w:p w:rsidR="00EF4296" w:rsidRDefault="00DE6211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ustawia para</w:t>
      </w:r>
      <w:r>
        <w:rPr>
          <w:rFonts w:ascii="Times New Roman" w:hAnsi="Times New Roman" w:cs="Times New Roman"/>
          <w:color w:val="000000"/>
          <w:sz w:val="24"/>
          <w:szCs w:val="24"/>
        </w:rPr>
        <w:t>metry na wyświetlaczu do automatycznego zarządzania pracą agregatu na uwrociu</w:t>
      </w:r>
    </w:p>
    <w:p w:rsidR="00EF4296" w:rsidRDefault="00DE6211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zestawia komponenty zaawansowanego systemu nawigacji satelitarnej wykorzystywanej w produkcji rolniczej (sieć radiowego RTK)</w:t>
      </w:r>
    </w:p>
    <w:p w:rsidR="00EF4296" w:rsidRDefault="00DE6211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zestawia urządzenia systemów elektronicznych wspomaga</w:t>
      </w:r>
      <w:r>
        <w:rPr>
          <w:rFonts w:ascii="Times New Roman" w:hAnsi="Times New Roman" w:cs="Times New Roman"/>
          <w:color w:val="000000"/>
          <w:sz w:val="24"/>
          <w:szCs w:val="24"/>
        </w:rPr>
        <w:t>jących automatyzację prac w produkcji zwierzęcej</w:t>
      </w:r>
    </w:p>
    <w:p w:rsidR="00EF4296" w:rsidRDefault="00DE6211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rozwiązuje problemy techniczne z wykorzystaniem dokumentacji technicznej pojazdu, maszyny lub urządzenia</w:t>
      </w:r>
    </w:p>
    <w:p w:rsidR="00EF4296" w:rsidRDefault="00DE6211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identyfikuje rodzaje kosztów eksploatacji maszyn i urządzeń wyposażonych w układy mechatroniczne</w:t>
      </w:r>
    </w:p>
    <w:p w:rsidR="00EF4296" w:rsidRDefault="00DE6211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dokon</w:t>
      </w:r>
      <w:r>
        <w:rPr>
          <w:rFonts w:ascii="Times New Roman" w:hAnsi="Times New Roman" w:cs="Times New Roman"/>
          <w:color w:val="000000"/>
          <w:sz w:val="24"/>
          <w:szCs w:val="24"/>
        </w:rPr>
        <w:t>uje kalkulacji kosztów jednostkowych eksploatacji maszyn i urządzeń wyposażonych w układy mechatroniczne</w:t>
      </w:r>
    </w:p>
    <w:p w:rsidR="00EF4296" w:rsidRDefault="00EF4296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F4296" w:rsidRDefault="00EF4296">
      <w:pPr>
        <w:widowControl w:val="0"/>
        <w:ind w:left="720"/>
        <w:rPr>
          <w:rFonts w:ascii="Times New Roman" w:hAnsi="Times New Roman" w:cs="Times New Roman"/>
          <w:sz w:val="20"/>
          <w:szCs w:val="20"/>
        </w:rPr>
      </w:pPr>
    </w:p>
    <w:p w:rsidR="00EF4296" w:rsidRDefault="00EF4296">
      <w:pPr>
        <w:rPr>
          <w:rFonts w:ascii="Times New Roman" w:hAnsi="Times New Roman" w:cs="Times New Roman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EF4296" w:rsidRDefault="00DE621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biegle posługuje się zdobytymi wiadomościami w rozwiązywaniu problemów</w:t>
      </w:r>
    </w:p>
    <w:p w:rsidR="00EF4296" w:rsidRDefault="00DE6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teoretycznych i praktycznych związanych z urządzeniami i systemami agrotronicznymi, proponuje rozwiązania nietypowe </w:t>
      </w:r>
    </w:p>
    <w:p w:rsidR="00EF4296" w:rsidRDefault="00DE621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osiąga sukcesy w konkursach i olimpiadach tematycznych</w:t>
      </w:r>
    </w:p>
    <w:p w:rsidR="00EF4296" w:rsidRDefault="00EF429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Wymagania edukacyjne niezbędne do uzyskania</w:t>
      </w: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poszczególnych śródrocznych i rocznych </w:t>
      </w:r>
      <w:r>
        <w:rPr>
          <w:rFonts w:ascii="Times New Roman" w:hAnsi="Times New Roman" w:cs="Times New Roman"/>
          <w:b/>
          <w:bCs/>
          <w:sz w:val="36"/>
          <w:szCs w:val="36"/>
        </w:rPr>
        <w:t>ocen klasyfikacyjnych z przedmiotu</w:t>
      </w: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Użytkowanie urządzeń i systemów agrotronicznych w rolnictwie</w:t>
      </w: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Technik mechanizacji rolnictwa i agrotroniki</w:t>
      </w:r>
    </w:p>
    <w:p w:rsidR="00EF4296" w:rsidRDefault="00DE62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kl. V TMRiA</w:t>
      </w:r>
    </w:p>
    <w:p w:rsidR="00EF4296" w:rsidRDefault="00EF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_kopia_1_kopia_1"/>
      <w:bookmarkEnd w:id="2"/>
      <w:r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EF4296" w:rsidRDefault="00DE6211">
      <w:pPr>
        <w:widowControl w:val="0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wyjaśnia zasadę działania poszczególnych urządzeń wspomaga</w:t>
      </w:r>
      <w:r>
        <w:rPr>
          <w:rFonts w:ascii="Times New Roman" w:hAnsi="Times New Roman" w:cs="Times New Roman"/>
        </w:rPr>
        <w:t>jących pracę pojazdów, maszyn i urządzeń stosowanych w rolnictwie</w:t>
      </w:r>
    </w:p>
    <w:p w:rsidR="00EF4296" w:rsidRDefault="00DE6211">
      <w:pPr>
        <w:widowControl w:val="0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rozróżnia urządzenia wspomagające pracę pojazdów, maszyn i urządzeń stosowanych w rolnictwie</w:t>
      </w:r>
    </w:p>
    <w:p w:rsidR="00EF4296" w:rsidRDefault="00DE6211">
      <w:pPr>
        <w:pStyle w:val="Default"/>
        <w:widowControl w:val="0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rozróżnia urządzenia wspomagające automatyczne prowadzenie pojazdów (odbiornik satelitarny, radio</w:t>
      </w:r>
      <w:r>
        <w:rPr>
          <w:rFonts w:ascii="Times New Roman" w:hAnsi="Times New Roman" w:cs="Times New Roman"/>
        </w:rPr>
        <w:t xml:space="preserve"> RTK (Real Time Kinematic)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modem mobilnego RTK, wyświetlacz, czujnik kąta skrętu itp.)</w:t>
      </w:r>
    </w:p>
    <w:p w:rsidR="00EF4296" w:rsidRDefault="00DE6211">
      <w:pPr>
        <w:pStyle w:val="Default"/>
        <w:widowControl w:val="0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wyjaśnia funkcje i działanie urządzeń wspomagających automatyczne prowadzenie maszyn rolniczych</w:t>
      </w:r>
    </w:p>
    <w:p w:rsidR="00EF4296" w:rsidRDefault="00EF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EF4296" w:rsidRDefault="00DE6211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wyjaśnia zasadę działania </w:t>
      </w:r>
      <w:r>
        <w:rPr>
          <w:rFonts w:ascii="Times New Roman" w:hAnsi="Times New Roman" w:cs="Times New Roman"/>
          <w:color w:val="000000"/>
          <w:sz w:val="24"/>
          <w:szCs w:val="24"/>
        </w:rPr>
        <w:t>urządzeń monitorujących warunki pogodowe, stan upraw i gleby w produkcji roślinnej</w:t>
      </w:r>
    </w:p>
    <w:p w:rsidR="00EF4296" w:rsidRDefault="00DE6211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wyjaśnia zasadę działania urządzeń wspomagających automatyzację pracy w produkcji zwierzęcej</w:t>
      </w:r>
    </w:p>
    <w:p w:rsidR="00EF4296" w:rsidRDefault="00DE6211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wyjaśnia zasadę działania urządzeń systemu elektronicznego wspomagającego automa</w:t>
      </w:r>
      <w:r>
        <w:rPr>
          <w:rFonts w:ascii="Times New Roman" w:hAnsi="Times New Roman" w:cs="Times New Roman"/>
          <w:color w:val="000000"/>
          <w:sz w:val="24"/>
          <w:szCs w:val="24"/>
        </w:rPr>
        <w:t>tyzację prac w produkcji roślinnej</w:t>
      </w:r>
    </w:p>
    <w:p w:rsidR="00EF4296" w:rsidRDefault="00DE6211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wyjaśnia zasadę działania urządzeń systemu elektronicznego wspomagającego automatyzację prac w produkcji zwierzęcej</w:t>
      </w:r>
    </w:p>
    <w:p w:rsidR="00EF4296" w:rsidRDefault="00DE6211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odczytuje dane pozyskane z systemów automatycznych maszyn i urządzeń rolniczych</w:t>
      </w:r>
    </w:p>
    <w:p w:rsidR="00EF4296" w:rsidRDefault="00DE6211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interpretuje pozyskane in</w:t>
      </w:r>
      <w:r>
        <w:rPr>
          <w:rFonts w:ascii="Times New Roman" w:hAnsi="Times New Roman" w:cs="Times New Roman"/>
          <w:color w:val="000000"/>
          <w:sz w:val="24"/>
          <w:szCs w:val="24"/>
        </w:rPr>
        <w:t>formacje z systemów automatycznych maszyn i urządzeń rolniczych (monitorowania osiągów maszyn, zarządzania logistyką oraz do zdalnego wsparcia operatorów i automatycznej wymiany danych)</w:t>
      </w:r>
    </w:p>
    <w:p w:rsidR="00EF4296" w:rsidRDefault="00EF4296">
      <w:pPr>
        <w:rPr>
          <w:rFonts w:ascii="Times New Roman" w:hAnsi="Times New Roman" w:cs="Times New Roman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EF4296" w:rsidRDefault="00DE6211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dobiera narzędzia rolnictwa precy</w:t>
      </w:r>
      <w:r>
        <w:rPr>
          <w:rFonts w:ascii="Times New Roman" w:hAnsi="Times New Roman" w:cs="Times New Roman"/>
          <w:color w:val="000000"/>
          <w:sz w:val="24"/>
          <w:szCs w:val="24"/>
        </w:rPr>
        <w:t>zyjnego stosowane w produkcji roślinnej w zależności od rodzaju i profilu produkcji</w:t>
      </w:r>
    </w:p>
    <w:p w:rsidR="00EF4296" w:rsidRDefault="00DE6211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eksportuje pozyskane informacje z systemów automatycznych maszyn i urządzeń rolniczych do oprogramowania w celu dalszej analizy lub ich modyfikacji</w:t>
      </w:r>
    </w:p>
    <w:p w:rsidR="00EF4296" w:rsidRDefault="00DE6211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pozyskuje dane dotyczące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maszyny w formie raportów z systemu telematycznego</w:t>
      </w:r>
    </w:p>
    <w:p w:rsidR="00EF4296" w:rsidRDefault="00DE6211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interpretuje dane pozyskane z systemu telematycznego</w:t>
      </w:r>
    </w:p>
    <w:p w:rsidR="00EF4296" w:rsidRDefault="00EF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EF4296" w:rsidRDefault="00DE6211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podejmuje działania optymalizujące pracę maszyny na podstawie danych pozyskanych z systemu telematycznego</w:t>
      </w:r>
    </w:p>
    <w:p w:rsidR="00EF4296" w:rsidRDefault="00DE6211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kreśla komponenty do konfiguracji systemu synchronizacji pracy wielu maszyn (np. wspólne linie prowadzenia, mapy pokrycia, automatyczny załadunek przyczepy podczas współpracy z kombajnem zbożowym lub sieczkarnią samojezdną)</w:t>
      </w:r>
    </w:p>
    <w:p w:rsidR="00EF4296" w:rsidRDefault="00DE6211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wyjaśnia zasady synchronizacji p</w:t>
      </w:r>
      <w:r>
        <w:rPr>
          <w:rFonts w:ascii="Times New Roman" w:hAnsi="Times New Roman" w:cs="Times New Roman"/>
          <w:color w:val="000000"/>
          <w:sz w:val="24"/>
          <w:szCs w:val="24"/>
        </w:rPr>
        <w:t>racy maszyn rolniczych pracujących na tym samym polu</w:t>
      </w:r>
    </w:p>
    <w:p w:rsidR="00EF4296" w:rsidRDefault="00DE6211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organizuje pracę zespołów pojazdów i maszyn rolniczych wyposażonych w systemy elektronicznego sterowania</w:t>
      </w:r>
    </w:p>
    <w:p w:rsidR="00EF4296" w:rsidRDefault="00EF4296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F4296" w:rsidRDefault="00EF4296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F4296" w:rsidRDefault="00EF4296">
      <w:pPr>
        <w:widowControl w:val="0"/>
        <w:ind w:left="720"/>
        <w:rPr>
          <w:rFonts w:ascii="Times New Roman" w:hAnsi="Times New Roman" w:cs="Times New Roman"/>
          <w:sz w:val="20"/>
          <w:szCs w:val="20"/>
        </w:rPr>
      </w:pPr>
    </w:p>
    <w:p w:rsidR="00EF4296" w:rsidRDefault="00EF4296">
      <w:pPr>
        <w:rPr>
          <w:rFonts w:ascii="Times New Roman" w:hAnsi="Times New Roman" w:cs="Times New Roman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EF4296" w:rsidRDefault="00DE621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biegle posługuje się zdobytymi wiadomościami w </w:t>
      </w:r>
      <w:r>
        <w:rPr>
          <w:rFonts w:ascii="Times New Roman" w:hAnsi="Times New Roman" w:cs="Times New Roman"/>
          <w:sz w:val="24"/>
          <w:szCs w:val="24"/>
        </w:rPr>
        <w:t>rozwiązywaniu problemów</w:t>
      </w:r>
    </w:p>
    <w:p w:rsidR="00EF4296" w:rsidRDefault="00DE6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teoretycznych i praktycznych związanych z urządzeniami i systemami agrotronicznymi, proponuje rozwiązania nietypowe </w:t>
      </w:r>
    </w:p>
    <w:p w:rsidR="00EF4296" w:rsidRDefault="00DE621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osiąga sukcesy w konkursach i olimpiadach tematycznych</w:t>
      </w:r>
    </w:p>
    <w:p w:rsidR="00EF4296" w:rsidRDefault="00EF42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4296" w:rsidRDefault="00EF42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4296" w:rsidRDefault="00EF4296"/>
    <w:p w:rsidR="00EF4296" w:rsidRDefault="00DE6211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PRZEDMIOTOWE ZASADY OCENIANIA </w:t>
      </w:r>
    </w:p>
    <w:p w:rsidR="00EF4296" w:rsidRDefault="00DE6211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ZAJĘĆ TEORETYCZNYCH</w:t>
      </w: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SPOSOBY SPRWDZANIA OSIĄGNIĘĆ UCZNIÓW:</w:t>
      </w:r>
    </w:p>
    <w:p w:rsidR="00EF4296" w:rsidRDefault="00DE6211">
      <w:pPr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Każdy uczeń jest oceniany za swoje osiągnięcia - wiedzę i umiejętności oraz postawę np. aktywność czy kreatywność. </w:t>
      </w:r>
    </w:p>
    <w:p w:rsidR="00EF4296" w:rsidRDefault="00DE62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Ocenie podlegają: </w:t>
      </w:r>
    </w:p>
    <w:p w:rsidR="00EF4296" w:rsidRDefault="00DE621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praca na lekcji ćwiczenia</w:t>
      </w:r>
    </w:p>
    <w:p w:rsidR="00EF4296" w:rsidRDefault="00DE6211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wykonywane podczas zajęć i analizowane pod kątem 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iągania celów operacyjnych lekcji, </w:t>
      </w:r>
    </w:p>
    <w:p w:rsidR="00EF4296" w:rsidRDefault="00DE6211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odpowiedzi ustne. </w:t>
      </w:r>
    </w:p>
    <w:p w:rsidR="00EF4296" w:rsidRDefault="00DE6211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jakość pracy i aktywność na lekcji. </w:t>
      </w:r>
    </w:p>
    <w:p w:rsidR="00EF4296" w:rsidRDefault="00DE6211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współpraca w grupie </w:t>
      </w:r>
    </w:p>
    <w:p w:rsidR="00EF4296" w:rsidRDefault="00DE621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sprawdziany umiejętności i wiadomości- zapowiedziane 1 tydzień wcześniej. </w:t>
      </w:r>
    </w:p>
    <w:p w:rsidR="00EF4296" w:rsidRDefault="00DE621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prace klasowe – obejmują materiał szerszy z całego działu – zapowied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ziane 2 tygodnie. </w:t>
      </w:r>
    </w:p>
    <w:p w:rsidR="00EF4296" w:rsidRDefault="00DE621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kartkówki - obejmują materiał z 1 lekcji niezapowiedziane, z 1-3 lekcji zapowiedziane 1 dzień przed. </w:t>
      </w:r>
    </w:p>
    <w:p w:rsidR="00EF4296" w:rsidRDefault="00DE621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prace domowe: </w:t>
      </w:r>
    </w:p>
    <w:p w:rsidR="00EF4296" w:rsidRDefault="00DE62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Uczeń ma obowiązek zaliczenia sprawdzianu/pracy klasowej lub innej pracy wykonywanej na zajęciach w przypadku swojej nieobecności, </w:t>
      </w:r>
    </w:p>
    <w:p w:rsidR="00EF4296" w:rsidRDefault="00DE62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</w:rPr>
        <w:t xml:space="preserve">Uczeń ma prawo do poprawy oceny ze sprawdzianu w terminie zgodnym z WSO.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Przy poprawianiu sprawdzianu i odbywaniu </w:t>
      </w:r>
      <w:r>
        <w:rPr>
          <w:rFonts w:ascii="Times New Roman" w:hAnsi="Times New Roman" w:cs="Times New Roman"/>
          <w:color w:val="000000"/>
        </w:rPr>
        <w:t xml:space="preserve">go w drugim terminie kryteria pozostają takie same.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Maksymalne terminy do poprawiania prac przez nauczyciela – praca klasowa 3 tygodnie, sprawdzian 2 tygodnie, kartkówka – 1 tydzień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Kartkówki nie podlegają poprawie- czas trwania od 10-15 min.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 O</w:t>
      </w:r>
      <w:r>
        <w:rPr>
          <w:rFonts w:ascii="Times New Roman" w:hAnsi="Times New Roman" w:cs="Times New Roman"/>
          <w:color w:val="000000"/>
        </w:rPr>
        <w:t xml:space="preserve">cena końcoworoczna ustalana jest na podstawie ocen z drugiego semestru uwzględniając ocenę z pierwszego semestru.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Ustalona przez nauczyciela końcoworoczna ocena niedostateczna może być zmieniona w wyniku egzaminu poprawkowego.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 Nauczyciel przekazuj</w:t>
      </w:r>
      <w:r>
        <w:rPr>
          <w:rFonts w:ascii="Times New Roman" w:hAnsi="Times New Roman" w:cs="Times New Roman"/>
          <w:color w:val="000000"/>
        </w:rPr>
        <w:t xml:space="preserve">e informacje o ocenie: </w:t>
      </w:r>
    </w:p>
    <w:p w:rsidR="00EF4296" w:rsidRDefault="00DE6211">
      <w:pPr>
        <w:pStyle w:val="Akapitzlist"/>
        <w:numPr>
          <w:ilvl w:val="0"/>
          <w:numId w:val="7"/>
        </w:num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uczniowi </w:t>
      </w:r>
    </w:p>
    <w:p w:rsidR="00EF4296" w:rsidRDefault="00DE6211">
      <w:pPr>
        <w:pStyle w:val="Akapitzlist"/>
        <w:numPr>
          <w:ilvl w:val="0"/>
          <w:numId w:val="7"/>
        </w:num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rodzicom - na ich prośbę, jako informacje o aktualnym rozwoju dziecka, jego uzdolnieniach i trudnościach.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 Termin przedstawienia przewidywanych ocen przed końcowym (semestralnym) klasyfikacyjnym posiedzeniem rady pedag</w:t>
      </w:r>
      <w:r>
        <w:rPr>
          <w:rFonts w:ascii="Times New Roman" w:hAnsi="Times New Roman" w:cs="Times New Roman"/>
          <w:color w:val="000000"/>
        </w:rPr>
        <w:t xml:space="preserve">ogicznej stosowany jest zgodnie z WSO. </w:t>
      </w:r>
    </w:p>
    <w:p w:rsidR="00EF4296" w:rsidRDefault="00DE621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12. Ocenia się w stopniach szkolnych od l do 6, dopuszczając znaki + przy ocenach cząstkowych </w:t>
      </w: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296" w:rsidRDefault="00DE621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Przy ocenianiu należy zachować następujące zasady: </w:t>
      </w:r>
    </w:p>
    <w:p w:rsidR="00EF4296" w:rsidRDefault="00DE621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ocenie wykonanej pracy i umiejętności należy przyjąć </w:t>
      </w:r>
      <w:r>
        <w:rPr>
          <w:rFonts w:ascii="Times New Roman" w:hAnsi="Times New Roman" w:cs="Times New Roman"/>
        </w:rPr>
        <w:t>następującą skalę:</w:t>
      </w:r>
    </w:p>
    <w:p w:rsidR="00EF4296" w:rsidRDefault="00DE6211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poniżej 20% punktów możliwych do zdobycia - ocena niedostateczny (1) </w:t>
      </w:r>
    </w:p>
    <w:p w:rsidR="00EF4296" w:rsidRDefault="00DE6211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20% do 29% punktów – ocena – niedostateczny plus (+1)</w:t>
      </w:r>
    </w:p>
    <w:p w:rsidR="00EF4296" w:rsidRDefault="00DE6211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30% do 42% punktów - ocena dopuszczająca (2)</w:t>
      </w:r>
    </w:p>
    <w:p w:rsidR="00EF4296" w:rsidRDefault="00DE6211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43% do 49% punktów - ocena dopuszczająca plus (+2)</w:t>
      </w:r>
    </w:p>
    <w:p w:rsidR="00EF4296" w:rsidRDefault="00DE6211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50% d</w:t>
      </w:r>
      <w:r>
        <w:rPr>
          <w:rFonts w:ascii="Times New Roman" w:hAnsi="Times New Roman" w:cs="Times New Roman"/>
        </w:rPr>
        <w:t xml:space="preserve">o 62% punktów - ocena dostateczna (3) </w:t>
      </w:r>
    </w:p>
    <w:p w:rsidR="00EF4296" w:rsidRDefault="00DE6211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63% do 74% punktów - ocena dostateczna plus (+3) </w:t>
      </w:r>
    </w:p>
    <w:p w:rsidR="00EF4296" w:rsidRDefault="00DE6211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75% do 82% punktów - ocena dobra (4)</w:t>
      </w:r>
    </w:p>
    <w:p w:rsidR="00EF4296" w:rsidRDefault="00DE6211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83% do 89% punktów - ocena dobra plus (+4)  </w:t>
      </w:r>
    </w:p>
    <w:p w:rsidR="00EF4296" w:rsidRDefault="00DE6211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90% do 95% punktów - ocena bardzo dobra (5)</w:t>
      </w:r>
    </w:p>
    <w:p w:rsidR="00EF4296" w:rsidRDefault="00DE6211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96% do 99% punktów - ocena bardzo dobra plus (+5)  </w:t>
      </w:r>
    </w:p>
    <w:p w:rsidR="00EF4296" w:rsidRDefault="00DE6211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100% punktów - ocena celująca (6)  </w:t>
      </w: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4296" w:rsidRDefault="00DE6211">
      <w:p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Kryteria oceny z wypowiedzi ustnej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poprawność merytoryczna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uzasadnienie wypowiedzi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stosowanie języka przedmiotu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sposób prezentacji - umiejętność formułowania m</w:t>
      </w:r>
      <w:r>
        <w:rPr>
          <w:rFonts w:ascii="Times New Roman" w:hAnsi="Times New Roman" w:cs="Times New Roman"/>
          <w:color w:val="000000"/>
        </w:rPr>
        <w:t xml:space="preserve">yśli o pracy w grupie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organizacja pracy w grupie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komunikacja w grupie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aktywność, wkład pracy własnej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współdziałanie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prezentowanie rezultatów pracy grupy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czas wykonania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terminowość realizacji </w:t>
      </w:r>
    </w:p>
    <w:p w:rsidR="00EF4296" w:rsidRDefault="00EF4296">
      <w:pPr>
        <w:spacing w:after="5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F4296" w:rsidRDefault="00DE6211">
      <w:p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Kryteria oceny z pracy domowej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prawidłowe wykonanie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</w:rPr>
        <w:t xml:space="preserve">wartość merytoryczna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wykorzystanie źródeł informacji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estetyka wykonania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wkład pracy </w:t>
      </w:r>
    </w:p>
    <w:p w:rsidR="00EF4296" w:rsidRDefault="00EF4296">
      <w:pPr>
        <w:spacing w:after="5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F4296" w:rsidRDefault="00DE6211">
      <w:p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Kryteria dodatkowe </w:t>
      </w:r>
    </w:p>
    <w:p w:rsidR="00EF4296" w:rsidRDefault="00DE62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wyróżnienie w etapie okręgowym (wojewódzkim) olimpiady lub konkursu ogólnopolskiego podwyższa ocenę końcoworoczną z przedmiotu objętego główną tematyką tej olimpiady/konkursu </w:t>
      </w:r>
    </w:p>
    <w:p w:rsidR="00EF4296" w:rsidRDefault="00DE6211">
      <w:pPr>
        <w:pStyle w:val="Akapitzlist"/>
        <w:numPr>
          <w:ilvl w:val="0"/>
          <w:numId w:val="7"/>
        </w:numPr>
        <w:spacing w:after="35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zakwalifikowanie do finału olimpiady/konkursu ogólnopolskiego podwyższa ocenę ko</w:t>
      </w:r>
      <w:r>
        <w:rPr>
          <w:rFonts w:ascii="Times New Roman" w:hAnsi="Times New Roman" w:cs="Times New Roman"/>
          <w:color w:val="000000"/>
        </w:rPr>
        <w:t xml:space="preserve">ńcoworoczną z przedmiotu objętego główną tematyką do oceny celującej. </w:t>
      </w:r>
    </w:p>
    <w:p w:rsidR="00EF4296" w:rsidRDefault="00DE6211">
      <w:pPr>
        <w:pStyle w:val="Akapitzlist"/>
        <w:numPr>
          <w:ilvl w:val="0"/>
          <w:numId w:val="7"/>
        </w:numPr>
        <w:spacing w:after="35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osiągnięcia w konkursach i olimpiadach na szczeblu szkolnym – cząstkowa ocena celująca za I miejsce, </w:t>
      </w: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OBSZARY AKTYWNOŚCI UCZNIA BĘDĄCE PRZEDMIOTEM OCENY </w:t>
      </w: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Posługiwanie się w opisie pojęć, środków, narzędzi i metod właściwą terminologią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Organizacja pracy.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Stosowanie odpowiednich metod, sposobów wykonania i osiągania przewidzianych wyników.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Rozwiązywanie problemów.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Stosowanie wiedzy przedmio</w:t>
      </w:r>
      <w:r>
        <w:rPr>
          <w:rFonts w:ascii="Times New Roman" w:hAnsi="Times New Roman" w:cs="Times New Roman"/>
          <w:color w:val="000000"/>
        </w:rPr>
        <w:t xml:space="preserve">towej w sytuacjach praktycznych.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Aktywność na lekcjach.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Współpraca w grupie. </w:t>
      </w:r>
    </w:p>
    <w:p w:rsidR="00EF4296" w:rsidRDefault="00DE621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 Wkład pracy ucznia i zaangażowanie w podejmowane działania. </w:t>
      </w: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Wpływ na jakość oceny maja następujące kryteria wartościujące: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samodzielność.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poprawność.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kompletn</w:t>
      </w:r>
      <w:r>
        <w:rPr>
          <w:rFonts w:ascii="Times New Roman" w:hAnsi="Times New Roman" w:cs="Times New Roman"/>
          <w:color w:val="000000"/>
        </w:rPr>
        <w:t xml:space="preserve">ość.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czas. </w:t>
      </w:r>
    </w:p>
    <w:p w:rsidR="00EF4296" w:rsidRDefault="00DE6211">
      <w:pPr>
        <w:pStyle w:val="Akapitzlist"/>
        <w:numPr>
          <w:ilvl w:val="0"/>
          <w:numId w:val="7"/>
        </w:numPr>
        <w:spacing w:after="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kreatywność. </w:t>
      </w:r>
    </w:p>
    <w:p w:rsidR="00EF4296" w:rsidRDefault="00DE62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postępy </w:t>
      </w:r>
    </w:p>
    <w:p w:rsidR="00EF4296" w:rsidRDefault="00EF429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4296" w:rsidRDefault="00DE621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SPOSOBY INFORMOWANIA UCZNIÓW I RODZICÓW O POSTĘPACH I NIEDOCIĄGNIECIACH.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Ustne uzasadnienie oceny ze wskazaniem drogi i sposobu poprawy wyników.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Prezentacja prac ucznia na jego życzenie. </w:t>
      </w:r>
    </w:p>
    <w:p w:rsidR="00EF4296" w:rsidRDefault="00DE6211">
      <w:pPr>
        <w:spacing w:after="47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Kontakty indywidualne z rodzicami. </w:t>
      </w:r>
    </w:p>
    <w:p w:rsidR="00EF4296" w:rsidRDefault="00DE621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Wywiadówka. </w:t>
      </w:r>
    </w:p>
    <w:p w:rsidR="00EF4296" w:rsidRDefault="00DE621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Udostępnienie testów i prac wykonywanych przez uczniów do wglądu. </w:t>
      </w:r>
    </w:p>
    <w:p w:rsidR="00EF4296" w:rsidRDefault="00DE621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Udostępnienie informacji w dzienniku. </w:t>
      </w:r>
    </w:p>
    <w:p w:rsidR="00EF4296" w:rsidRDefault="00EF4296"/>
    <w:p w:rsidR="00EF4296" w:rsidRDefault="00EF4296">
      <w:pPr>
        <w:rPr>
          <w:rFonts w:ascii="Times New Roman" w:hAnsi="Times New Roman" w:cs="Times New Roman"/>
          <w:b/>
        </w:rPr>
      </w:pPr>
    </w:p>
    <w:sectPr w:rsidR="00EF429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E7B"/>
    <w:multiLevelType w:val="multilevel"/>
    <w:tmpl w:val="D93438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E57D1"/>
    <w:multiLevelType w:val="multilevel"/>
    <w:tmpl w:val="7112494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15B865B8"/>
    <w:multiLevelType w:val="multilevel"/>
    <w:tmpl w:val="324A9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902C61"/>
    <w:multiLevelType w:val="multilevel"/>
    <w:tmpl w:val="6E2C1C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C105A1"/>
    <w:multiLevelType w:val="multilevel"/>
    <w:tmpl w:val="5658E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AF34B1B"/>
    <w:multiLevelType w:val="multilevel"/>
    <w:tmpl w:val="19F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F0D1A79"/>
    <w:multiLevelType w:val="multilevel"/>
    <w:tmpl w:val="84DC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3560D30"/>
    <w:multiLevelType w:val="multilevel"/>
    <w:tmpl w:val="36CA65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5D7C5D"/>
    <w:multiLevelType w:val="multilevel"/>
    <w:tmpl w:val="B98E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98125C3"/>
    <w:multiLevelType w:val="multilevel"/>
    <w:tmpl w:val="C15C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FB7613F"/>
    <w:multiLevelType w:val="multilevel"/>
    <w:tmpl w:val="F18C13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7966A07"/>
    <w:multiLevelType w:val="multilevel"/>
    <w:tmpl w:val="D45423E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A32B72"/>
    <w:multiLevelType w:val="multilevel"/>
    <w:tmpl w:val="CF44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3AF7802"/>
    <w:multiLevelType w:val="multilevel"/>
    <w:tmpl w:val="7F4C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4E605A3"/>
    <w:multiLevelType w:val="multilevel"/>
    <w:tmpl w:val="BEC05A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5762AB2"/>
    <w:multiLevelType w:val="multilevel"/>
    <w:tmpl w:val="5F6A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3"/>
  </w:num>
  <w:num w:numId="10">
    <w:abstractNumId w:val="12"/>
  </w:num>
  <w:num w:numId="11">
    <w:abstractNumId w:val="15"/>
  </w:num>
  <w:num w:numId="12">
    <w:abstractNumId w:val="6"/>
  </w:num>
  <w:num w:numId="13">
    <w:abstractNumId w:val="9"/>
  </w:num>
  <w:num w:numId="14">
    <w:abstractNumId w:val="5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96"/>
    <w:rsid w:val="00DE6211"/>
    <w:rsid w:val="00E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0C0EB-29A6-4E32-B1BC-6015BD8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85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A085C"/>
    <w:pPr>
      <w:ind w:left="720"/>
      <w:contextualSpacing/>
    </w:pPr>
  </w:style>
  <w:style w:type="paragraph" w:customStyle="1" w:styleId="Default">
    <w:name w:val="Default"/>
    <w:qFormat/>
    <w:rsid w:val="00AA085C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1681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Midro</dc:creator>
  <dc:description/>
  <cp:lastModifiedBy>Wicedyrektor</cp:lastModifiedBy>
  <cp:revision>2</cp:revision>
  <cp:lastPrinted>2020-03-02T18:34:00Z</cp:lastPrinted>
  <dcterms:created xsi:type="dcterms:W3CDTF">2025-05-08T10:49:00Z</dcterms:created>
  <dcterms:modified xsi:type="dcterms:W3CDTF">2025-05-08T10:49:00Z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